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2B67A4">
        <w:rPr>
          <w:rFonts w:ascii="Century Gothic" w:hAnsi="Century Gothic"/>
          <w:b/>
          <w:sz w:val="24"/>
          <w:szCs w:val="24"/>
        </w:rPr>
        <w:t xml:space="preserve"> 043</w:t>
      </w:r>
      <w:r w:rsidR="002E7B32">
        <w:rPr>
          <w:rFonts w:ascii="Century Gothic" w:hAnsi="Century Gothic"/>
          <w:b/>
          <w:sz w:val="24"/>
          <w:szCs w:val="24"/>
        </w:rPr>
        <w:t>/2016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2E7B32">
        <w:rPr>
          <w:rFonts w:ascii="Century Gothic" w:hAnsi="Century Gothic"/>
          <w:b/>
          <w:sz w:val="24"/>
          <w:szCs w:val="24"/>
        </w:rPr>
        <w:t>A G FERRARI</w:t>
      </w:r>
      <w:r w:rsidR="00911E86">
        <w:rPr>
          <w:rFonts w:ascii="Century Gothic" w:hAnsi="Century Gothic"/>
          <w:b/>
          <w:sz w:val="24"/>
          <w:szCs w:val="24"/>
        </w:rPr>
        <w:t xml:space="preserve"> ME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 xml:space="preserve">LOCAÇÃO DE HORAS TRABALHADAS DE </w:t>
      </w:r>
      <w:r w:rsidR="002E7B32">
        <w:rPr>
          <w:rFonts w:ascii="Century Gothic" w:hAnsi="Century Gothic"/>
          <w:b/>
          <w:sz w:val="24"/>
          <w:szCs w:val="24"/>
        </w:rPr>
        <w:t>TRATOR DE PNEU, COM ROÇADEIRA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2E7B32">
        <w:rPr>
          <w:rFonts w:ascii="Century Gothic" w:hAnsi="Century Gothic"/>
          <w:b/>
          <w:sz w:val="24"/>
          <w:szCs w:val="24"/>
        </w:rPr>
        <w:t>A G FERRARI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E7B32">
        <w:rPr>
          <w:rFonts w:ascii="Century Gothic" w:hAnsi="Century Gothic"/>
          <w:sz w:val="24"/>
          <w:szCs w:val="24"/>
        </w:rPr>
        <w:t>12.211.758/0001-58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2E7B32">
        <w:rPr>
          <w:rFonts w:ascii="Century Gothic" w:hAnsi="Century Gothic"/>
          <w:sz w:val="24"/>
          <w:szCs w:val="24"/>
        </w:rPr>
        <w:t xml:space="preserve">Rua Afonso Pena nº 423, Edifício Verona, </w:t>
      </w:r>
      <w:proofErr w:type="gramStart"/>
      <w:r w:rsidR="002E7B32">
        <w:rPr>
          <w:rFonts w:ascii="Century Gothic" w:hAnsi="Century Gothic"/>
          <w:sz w:val="24"/>
          <w:szCs w:val="24"/>
        </w:rPr>
        <w:t>Andar</w:t>
      </w:r>
      <w:proofErr w:type="gramEnd"/>
      <w:r w:rsidR="002E7B32">
        <w:rPr>
          <w:rFonts w:ascii="Century Gothic" w:hAnsi="Century Gothic"/>
          <w:sz w:val="24"/>
          <w:szCs w:val="24"/>
        </w:rPr>
        <w:t xml:space="preserve"> 2, Apto 201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4B2286">
        <w:rPr>
          <w:rFonts w:ascii="Century Gothic" w:hAnsi="Century Gothic"/>
          <w:sz w:val="24"/>
          <w:szCs w:val="24"/>
        </w:rPr>
        <w:t xml:space="preserve">Centro -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</w:t>
      </w:r>
      <w:r w:rsidR="00AD490C">
        <w:rPr>
          <w:rFonts w:ascii="Century Gothic" w:hAnsi="Century Gothic"/>
          <w:sz w:val="24"/>
          <w:szCs w:val="24"/>
        </w:rPr>
        <w:lastRenderedPageBreak/>
        <w:t>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2E7B32">
        <w:rPr>
          <w:rFonts w:ascii="Century Gothic" w:hAnsi="Century Gothic"/>
          <w:b/>
          <w:sz w:val="24"/>
          <w:szCs w:val="24"/>
        </w:rPr>
        <w:t>GILMAR FERRARI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E7B32">
        <w:rPr>
          <w:rFonts w:ascii="Century Gothic" w:hAnsi="Century Gothic"/>
          <w:sz w:val="24"/>
          <w:szCs w:val="24"/>
        </w:rPr>
        <w:t>278.822.339-00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B67A4">
        <w:rPr>
          <w:rFonts w:ascii="Century Gothic" w:hAnsi="Century Gothic"/>
          <w:b/>
          <w:sz w:val="24"/>
          <w:szCs w:val="24"/>
          <w:u w:val="single"/>
        </w:rPr>
        <w:t>043</w:t>
      </w:r>
      <w:r w:rsidR="002E7B32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E7B32">
        <w:rPr>
          <w:rFonts w:ascii="Century Gothic" w:hAnsi="Century Gothic"/>
          <w:sz w:val="24"/>
          <w:szCs w:val="24"/>
        </w:rPr>
        <w:t>10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E7B32">
        <w:rPr>
          <w:rFonts w:ascii="Century Gothic" w:hAnsi="Century Gothic"/>
          <w:sz w:val="24"/>
          <w:szCs w:val="24"/>
        </w:rPr>
        <w:t>junho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2E7B32">
        <w:rPr>
          <w:rFonts w:ascii="Century Gothic" w:hAnsi="Century Gothic"/>
          <w:sz w:val="24"/>
          <w:szCs w:val="24"/>
        </w:rPr>
        <w:t>o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2E7B32">
        <w:rPr>
          <w:rFonts w:ascii="Century Gothic" w:hAnsi="Century Gothic"/>
          <w:b/>
          <w:sz w:val="24"/>
          <w:szCs w:val="24"/>
        </w:rPr>
        <w:t>Pregão Presencial nº 009/2016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B67A4">
        <w:rPr>
          <w:rFonts w:ascii="Century Gothic" w:hAnsi="Century Gothic"/>
          <w:sz w:val="24"/>
          <w:szCs w:val="24"/>
        </w:rPr>
        <w:t xml:space="preserve"> 043</w:t>
      </w:r>
      <w:bookmarkStart w:id="0" w:name="_GoBack"/>
      <w:bookmarkEnd w:id="0"/>
      <w:r w:rsidR="004B2286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4B228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 G FERRARI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67A4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67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67A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B67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67A4"/>
    <w:rsid w:val="002E7B32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B2286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97F269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A750-2887-4F36-8832-F38FA0D1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23</cp:revision>
  <cp:lastPrinted>2018-09-26T14:01:00Z</cp:lastPrinted>
  <dcterms:created xsi:type="dcterms:W3CDTF">2018-08-01T12:53:00Z</dcterms:created>
  <dcterms:modified xsi:type="dcterms:W3CDTF">2018-10-22T13:15:00Z</dcterms:modified>
</cp:coreProperties>
</file>